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2438400" cy="964787"/>
            <wp:effectExtent b="76200" l="76200" r="76200" t="762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64787"/>
                    </a:xfrm>
                    <a:prstGeom prst="rect"/>
                    <a:ln w="76200">
                      <a:solidFill>
                        <a:srgbClr val="6FA8D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Session 4: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Understanding Item Types on the Innovative Assessment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Synthesis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Participant Guide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Objectives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Using pp. 11-12, 20-33 of the </w:t>
      </w:r>
      <w:hyperlink r:id="rId7">
        <w:r w:rsidDel="00000000" w:rsidR="00000000" w:rsidRPr="00000000">
          <w:rPr>
            <w:rFonts w:ascii="Calibri" w:cs="Calibri" w:eastAsia="Calibri" w:hAnsi="Calibri"/>
            <w:color w:val="179dd5"/>
            <w:sz w:val="24"/>
            <w:szCs w:val="24"/>
            <w:u w:val="single"/>
            <w:rtl w:val="0"/>
          </w:rPr>
          <w:t xml:space="preserve">IAP Score Report Guidance</w:t>
        </w:r>
      </w:hyperlink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document, participants will…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Engage in a scoring activity for the Synthesis essay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Let’s Set the Context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Record all of the nouns that you see in the IAP writing prompt. </w:t>
      </w:r>
      <w:r w:rsidDel="00000000" w:rsidR="00000000" w:rsidRPr="00000000">
        <w:rPr>
          <w:rtl w:val="0"/>
        </w:rPr>
      </w:r>
    </w:p>
    <w:tbl>
      <w:tblPr>
        <w:tblStyle w:val="Table1"/>
        <w:tblW w:w="1137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blHeader w:val="0"/>
        </w:trPr>
        <w:tc>
          <w:tcPr>
            <w:shd w:fill="22222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36"/>
                <w:szCs w:val="36"/>
                <w:rtl w:val="0"/>
              </w:rPr>
              <w:t xml:space="preserve">Abstract Nouns/Thematic Topics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Let’s Set the Context: Text Access Document  </w:t>
      </w:r>
      <w:r w:rsidDel="00000000" w:rsidR="00000000" w:rsidRPr="00000000">
        <w:rPr>
          <w:rtl w:val="0"/>
        </w:rPr>
      </w:r>
    </w:p>
    <w:tbl>
      <w:tblPr>
        <w:tblStyle w:val="Table2"/>
        <w:tblW w:w="1137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blHeader w:val="0"/>
        </w:trPr>
        <w:tc>
          <w:tcPr>
            <w:shd w:fill="22222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What do you notice about the texts chosen for the writing prompt?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2222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What connections do these texts have to the big ideas of the writing prompt?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Let’s Set the Context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2280"/>
        <w:gridCol w:w="5880"/>
        <w:tblGridChange w:id="0">
          <w:tblGrid>
            <w:gridCol w:w="3090"/>
            <w:gridCol w:w="2280"/>
            <w:gridCol w:w="588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Text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Must Use New Text Choose 2 Unit Texts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6"/>
                <w:szCs w:val="26"/>
                <w:rtl w:val="0"/>
              </w:rPr>
              <w:t xml:space="preserve">The Heretic’s Daughter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New Text: Required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6"/>
                <w:szCs w:val="26"/>
                <w:rtl w:val="0"/>
              </w:rPr>
              <w:t xml:space="preserve">The Witch of Blackbird Pond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Choice Text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“Choices”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Choice Text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“Identity”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Choice Text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“The Road Not Taken”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Choice Text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Let’s Set the Context: Reader’s Circle for Literary Texts </w:t>
      </w:r>
    </w:p>
    <w:p w:rsidR="00000000" w:rsidDel="00000000" w:rsidP="00000000" w:rsidRDefault="00000000" w:rsidRPr="00000000" w14:paraId="00000054">
      <w:pPr>
        <w:jc w:val="lef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</w:rPr>
        <w:drawing>
          <wp:inline distB="19050" distT="19050" distL="19050" distR="19050">
            <wp:extent cx="4262438" cy="2838000"/>
            <wp:effectExtent b="12700" l="12700" r="12700" t="127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13149"/>
                    <a:stretch>
                      <a:fillRect/>
                    </a:stretch>
                  </pic:blipFill>
                  <pic:spPr>
                    <a:xfrm>
                      <a:off x="0" y="0"/>
                      <a:ext cx="4262438" cy="2838000"/>
                    </a:xfrm>
                    <a:prstGeom prst="rect"/>
                    <a:ln w="12700">
                      <a:solidFill>
                        <a:srgbClr val="434343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Reflection and Closing</w:t>
      </w:r>
      <w:r w:rsidDel="00000000" w:rsidR="00000000" w:rsidRPr="00000000">
        <w:rPr>
          <w:rtl w:val="0"/>
        </w:rPr>
      </w:r>
    </w:p>
    <w:tbl>
      <w:tblPr>
        <w:tblStyle w:val="Table4"/>
        <w:tblW w:w="1137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8"/>
        <w:tblGridChange w:id="0">
          <w:tblGrid>
            <w:gridCol w:w="11378"/>
          </w:tblGrid>
        </w:tblGridChange>
      </w:tblGrid>
      <w:tr>
        <w:trPr>
          <w:cantSplit w:val="0"/>
          <w:tblHeader w:val="0"/>
        </w:trPr>
        <w:tc>
          <w:tcPr>
            <w:shd w:fill="22222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  <w:rtl w:val="0"/>
              </w:rPr>
              <w:t xml:space="preserve">What did you learn from the scoring activity?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5840" w:w="12240" w:orient="portrait"/>
      <w:pgMar w:bottom="900" w:top="446.4" w:left="431.99999999999994" w:right="431.999999999999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212121"/>
        <w:sz w:val="36"/>
        <w:szCs w:val="36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louisianabelieves.com/docs/default-source/assessment-guidance/iap-guidance-for-score-reports.pdf?sfvrsn=53886518_6" TargetMode="External"/><Relationship Id="rId8" Type="http://schemas.openxmlformats.org/officeDocument/2006/relationships/hyperlink" Target="https://www.louisianabelieves.com/docs/default-source/assessment-guidance/iap-guidance-for-score-reports.pdf?sfvrsn=53886518_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