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B05E" w14:textId="77777777" w:rsidR="00FE2771" w:rsidRDefault="00000000">
      <w:pPr>
        <w:jc w:val="center"/>
      </w:pPr>
      <w:r>
        <w:rPr>
          <w:noProof/>
        </w:rPr>
        <w:drawing>
          <wp:inline distT="19050" distB="19050" distL="19050" distR="19050" wp14:anchorId="38165E25" wp14:editId="4D2683CA">
            <wp:extent cx="2438400" cy="964787"/>
            <wp:effectExtent l="76200" t="76200" r="76200" b="762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64787"/>
                    </a:xfrm>
                    <a:prstGeom prst="rect">
                      <a:avLst/>
                    </a:prstGeom>
                    <a:ln w="76200">
                      <a:solidFill>
                        <a:srgbClr val="6FA8D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596E5E8" w14:textId="77777777" w:rsidR="00FE2771" w:rsidRDefault="00000000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Session 3: </w:t>
      </w:r>
    </w:p>
    <w:p w14:paraId="18FED45E" w14:textId="77777777" w:rsidR="00FE2771" w:rsidRDefault="00000000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Understanding Item Types on the Innovative Assessment</w:t>
      </w:r>
    </w:p>
    <w:p w14:paraId="0325E0E3" w14:textId="77777777" w:rsidR="00FE2771" w:rsidRDefault="00000000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Selected-Response and Constructed Response </w:t>
      </w:r>
    </w:p>
    <w:p w14:paraId="5F31038F" w14:textId="77777777" w:rsidR="00FE2771" w:rsidRDefault="00000000">
      <w:pPr>
        <w:rPr>
          <w:rFonts w:ascii="Calibri" w:eastAsia="Calibri" w:hAnsi="Calibri" w:cs="Calibri"/>
          <w:i/>
        </w:rPr>
      </w:pPr>
      <w:r>
        <w:pict w14:anchorId="599AA7C2">
          <v:rect id="_x0000_i1025" style="width:0;height:1.5pt" o:hralign="center" o:hrstd="t" o:hr="t" fillcolor="#a0a0a0" stroked="f"/>
        </w:pict>
      </w:r>
    </w:p>
    <w:p w14:paraId="76626D66" w14:textId="77777777" w:rsidR="00FE2771" w:rsidRDefault="00FE2771">
      <w:pPr>
        <w:jc w:val="center"/>
        <w:rPr>
          <w:rFonts w:ascii="Calibri" w:eastAsia="Calibri" w:hAnsi="Calibri" w:cs="Calibri"/>
          <w:b/>
          <w:sz w:val="4"/>
          <w:szCs w:val="4"/>
        </w:rPr>
      </w:pPr>
    </w:p>
    <w:p w14:paraId="390BDAD7" w14:textId="77777777" w:rsidR="00FE2771" w:rsidRDefault="00000000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Participant Guide </w:t>
      </w:r>
    </w:p>
    <w:p w14:paraId="16D73C74" w14:textId="77777777" w:rsidR="00FE2771" w:rsidRDefault="00FE2771">
      <w:pPr>
        <w:rPr>
          <w:rFonts w:ascii="Calibri" w:eastAsia="Calibri" w:hAnsi="Calibri" w:cs="Calibri"/>
          <w:i/>
          <w:sz w:val="4"/>
          <w:szCs w:val="4"/>
        </w:rPr>
      </w:pPr>
    </w:p>
    <w:p w14:paraId="5A36F984" w14:textId="77777777" w:rsidR="00FE2771" w:rsidRDefault="00FE2771">
      <w:pPr>
        <w:rPr>
          <w:rFonts w:ascii="Calibri" w:eastAsia="Calibri" w:hAnsi="Calibri" w:cs="Calibri"/>
          <w:b/>
          <w:sz w:val="4"/>
          <w:szCs w:val="4"/>
        </w:rPr>
      </w:pPr>
    </w:p>
    <w:p w14:paraId="0A0F32D2" w14:textId="77777777" w:rsidR="00FE2771" w:rsidRDefault="00000000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Objectives</w:t>
      </w:r>
    </w:p>
    <w:p w14:paraId="041D4B0E" w14:textId="77777777" w:rsidR="00FE2771" w:rsidRDefault="00000000">
      <w:pPr>
        <w:widowControl w:val="0"/>
        <w:spacing w:line="240" w:lineRule="auto"/>
        <w:rPr>
          <w:rFonts w:ascii="Calibri" w:eastAsia="Calibri" w:hAnsi="Calibri" w:cs="Calibri"/>
          <w:color w:val="3F3F3F"/>
          <w:sz w:val="24"/>
          <w:szCs w:val="24"/>
        </w:rPr>
      </w:pPr>
      <w:r>
        <w:rPr>
          <w:rFonts w:ascii="Calibri" w:eastAsia="Calibri" w:hAnsi="Calibri" w:cs="Calibri"/>
          <w:color w:val="3F3F3F"/>
          <w:sz w:val="24"/>
          <w:szCs w:val="24"/>
        </w:rPr>
        <w:t>Participants will</w:t>
      </w:r>
    </w:p>
    <w:p w14:paraId="72D5045E" w14:textId="77777777" w:rsidR="00FE2771" w:rsidRDefault="00000000">
      <w:pPr>
        <w:widowControl w:val="0"/>
        <w:numPr>
          <w:ilvl w:val="0"/>
          <w:numId w:val="1"/>
        </w:numPr>
        <w:spacing w:line="240" w:lineRule="auto"/>
      </w:pPr>
      <w:r>
        <w:rPr>
          <w:rFonts w:ascii="Calibri" w:eastAsia="Calibri" w:hAnsi="Calibri" w:cs="Calibri"/>
          <w:color w:val="3F3F3F"/>
          <w:sz w:val="24"/>
          <w:szCs w:val="24"/>
        </w:rPr>
        <w:t xml:space="preserve">use pp. 16-17 of the </w:t>
      </w:r>
      <w:hyperlink r:id="rId8">
        <w:r>
          <w:rPr>
            <w:rFonts w:ascii="Calibri" w:eastAsia="Calibri" w:hAnsi="Calibri" w:cs="Calibri"/>
            <w:color w:val="3D9BBA"/>
            <w:sz w:val="24"/>
            <w:szCs w:val="24"/>
            <w:u w:val="single"/>
          </w:rPr>
          <w:t>IAP Assessment Guide for Grades 5-8 Guidebooks Operational Tests</w:t>
        </w:r>
      </w:hyperlink>
      <w:r>
        <w:rPr>
          <w:rFonts w:ascii="Calibri" w:eastAsia="Calibri" w:hAnsi="Calibri" w:cs="Calibri"/>
          <w:color w:val="3F3F3F"/>
          <w:sz w:val="24"/>
          <w:szCs w:val="24"/>
        </w:rPr>
        <w:t xml:space="preserve"> to increase their knowledge of sample selected response and constructed response test items; and</w:t>
      </w:r>
    </w:p>
    <w:p w14:paraId="71157166" w14:textId="77777777" w:rsidR="00FE2771" w:rsidRDefault="00000000">
      <w:pPr>
        <w:widowControl w:val="0"/>
        <w:numPr>
          <w:ilvl w:val="0"/>
          <w:numId w:val="1"/>
        </w:numPr>
        <w:spacing w:line="240" w:lineRule="auto"/>
      </w:pPr>
      <w:r>
        <w:rPr>
          <w:rFonts w:ascii="Calibri" w:eastAsia="Calibri" w:hAnsi="Calibri" w:cs="Calibri"/>
          <w:color w:val="3F3F3F"/>
          <w:sz w:val="24"/>
          <w:szCs w:val="24"/>
        </w:rPr>
        <w:t xml:space="preserve">use pp. 11-19 of the </w:t>
      </w:r>
      <w:hyperlink r:id="rId9">
        <w:r>
          <w:rPr>
            <w:rFonts w:ascii="Calibri" w:eastAsia="Calibri" w:hAnsi="Calibri" w:cs="Calibri"/>
            <w:color w:val="47A8CA"/>
            <w:sz w:val="24"/>
            <w:szCs w:val="24"/>
            <w:u w:val="single"/>
          </w:rPr>
          <w:t>IAP Score Report Guidance</w:t>
        </w:r>
      </w:hyperlink>
      <w:hyperlink r:id="rId10">
        <w:r>
          <w:rPr>
            <w:rFonts w:ascii="Calibri" w:eastAsia="Calibri" w:hAnsi="Calibri" w:cs="Calibri"/>
            <w:color w:val="3F3F3F"/>
            <w:sz w:val="24"/>
            <w:szCs w:val="24"/>
          </w:rPr>
          <w:t xml:space="preserve"> </w:t>
        </w:r>
      </w:hyperlink>
      <w:r>
        <w:rPr>
          <w:rFonts w:ascii="Calibri" w:eastAsia="Calibri" w:hAnsi="Calibri" w:cs="Calibri"/>
          <w:color w:val="3F3F3F"/>
          <w:sz w:val="24"/>
          <w:szCs w:val="24"/>
        </w:rPr>
        <w:t>document to engage in a scoring activity for the constructed response sample item.</w:t>
      </w:r>
    </w:p>
    <w:p w14:paraId="5EAC3B95" w14:textId="77777777" w:rsidR="00FE2771" w:rsidRDefault="00000000">
      <w:pPr>
        <w:rPr>
          <w:rFonts w:ascii="Calibri" w:eastAsia="Calibri" w:hAnsi="Calibri" w:cs="Calibri"/>
          <w:b/>
          <w:sz w:val="36"/>
          <w:szCs w:val="36"/>
        </w:rPr>
      </w:pPr>
      <w:r>
        <w:pict w14:anchorId="1D22B357">
          <v:rect id="_x0000_i1026" style="width:0;height:1.5pt" o:hralign="center" o:hrstd="t" o:hr="t" fillcolor="#a0a0a0" stroked="f"/>
        </w:pict>
      </w:r>
    </w:p>
    <w:p w14:paraId="1076A1C4" w14:textId="77777777" w:rsidR="00FE2771" w:rsidRDefault="00FE2771">
      <w:pPr>
        <w:rPr>
          <w:rFonts w:ascii="Calibri" w:eastAsia="Calibri" w:hAnsi="Calibri" w:cs="Calibri"/>
          <w:b/>
          <w:sz w:val="36"/>
          <w:szCs w:val="36"/>
        </w:rPr>
      </w:pPr>
    </w:p>
    <w:p w14:paraId="32289F7D" w14:textId="77777777" w:rsidR="00FE2771" w:rsidRDefault="00000000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Let’s Set the Context </w:t>
      </w:r>
    </w:p>
    <w:p w14:paraId="5B7B5C98" w14:textId="77777777" w:rsidR="00FE2771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Record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all of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the nouns that you see in the Let’s Set the Context </w:t>
      </w:r>
      <w:r>
        <w:rPr>
          <w:rFonts w:ascii="Calibri" w:eastAsia="Calibri" w:hAnsi="Calibri" w:cs="Calibri"/>
          <w:sz w:val="24"/>
          <w:szCs w:val="24"/>
        </w:rPr>
        <w:t xml:space="preserve">unit statement. </w:t>
      </w:r>
    </w:p>
    <w:tbl>
      <w:tblPr>
        <w:tblStyle w:val="a"/>
        <w:tblW w:w="1137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78"/>
      </w:tblGrid>
      <w:tr w:rsidR="00FE2771" w14:paraId="4D8814C8" w14:textId="77777777">
        <w:trPr>
          <w:jc w:val="center"/>
        </w:trPr>
        <w:tc>
          <w:tcPr>
            <w:tcW w:w="11378" w:type="dxa"/>
            <w:shd w:val="clear" w:color="auto" w:fill="22222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C196C" w14:textId="77777777" w:rsidR="00FE2771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36"/>
                <w:szCs w:val="36"/>
              </w:rPr>
              <w:t xml:space="preserve">Abstract Nouns/Thematic Topics </w:t>
            </w:r>
          </w:p>
        </w:tc>
      </w:tr>
      <w:tr w:rsidR="00FE2771" w14:paraId="73EE6BEF" w14:textId="77777777">
        <w:trPr>
          <w:jc w:val="center"/>
        </w:trPr>
        <w:tc>
          <w:tcPr>
            <w:tcW w:w="11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2209C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F9E65A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06D0E7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890F54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1DC216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ABA526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EB96DE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07AA6D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21E11B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C5838E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654A1A5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CA2697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3714B1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21C016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D2FA83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E14A5C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CAF98BA" w14:textId="77777777" w:rsidR="00FE2771" w:rsidRDefault="00FE2771">
      <w:pPr>
        <w:rPr>
          <w:rFonts w:ascii="Calibri" w:eastAsia="Calibri" w:hAnsi="Calibri" w:cs="Calibri"/>
          <w:b/>
          <w:sz w:val="4"/>
          <w:szCs w:val="4"/>
        </w:rPr>
      </w:pPr>
    </w:p>
    <w:p w14:paraId="1782D670" w14:textId="77777777" w:rsidR="00FE2771" w:rsidRDefault="00FE2771">
      <w:pPr>
        <w:rPr>
          <w:rFonts w:ascii="Calibri" w:eastAsia="Calibri" w:hAnsi="Calibri" w:cs="Calibri"/>
          <w:b/>
          <w:sz w:val="4"/>
          <w:szCs w:val="4"/>
        </w:rPr>
      </w:pPr>
    </w:p>
    <w:p w14:paraId="11694960" w14:textId="77777777" w:rsidR="00FE2771" w:rsidRDefault="00000000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lastRenderedPageBreak/>
        <w:t xml:space="preserve">Let’s Set the Context: Text Access Document </w:t>
      </w:r>
    </w:p>
    <w:p w14:paraId="0F30B4AE" w14:textId="77777777" w:rsidR="00FE2771" w:rsidRDefault="00000000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The following texts are in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Witch of Blackbird Pond </w:t>
      </w:r>
      <w:r>
        <w:rPr>
          <w:rFonts w:ascii="Calibri" w:eastAsia="Calibri" w:hAnsi="Calibri" w:cs="Calibri"/>
          <w:i/>
          <w:sz w:val="24"/>
          <w:szCs w:val="24"/>
        </w:rPr>
        <w:t xml:space="preserve">Guidebook unit. </w:t>
      </w:r>
    </w:p>
    <w:p w14:paraId="5A9031A7" w14:textId="77777777" w:rsidR="00FE2771" w:rsidRDefault="00000000">
      <w:pPr>
        <w:rPr>
          <w:rFonts w:ascii="Calibri" w:eastAsia="Calibri" w:hAnsi="Calibri" w:cs="Calibri"/>
          <w:i/>
          <w:sz w:val="24"/>
          <w:szCs w:val="24"/>
        </w:rPr>
      </w:pPr>
      <w:r>
        <w:pict w14:anchorId="5746DFBB">
          <v:rect id="_x0000_i1027" style="width:0;height:1.5pt" o:hralign="center" o:hrstd="t" o:hr="t" fillcolor="#a0a0a0" stroked="f"/>
        </w:pict>
      </w:r>
    </w:p>
    <w:p w14:paraId="68CDC794" w14:textId="77777777" w:rsidR="00FE2771" w:rsidRDefault="00000000">
      <w:pPr>
        <w:shd w:val="clear" w:color="auto" w:fill="FFFFFF"/>
        <w:spacing w:before="100" w:after="28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The Witch of Blackbird Pond</w:t>
      </w:r>
    </w:p>
    <w:p w14:paraId="396E78E5" w14:textId="77777777" w:rsidR="00FE2771" w:rsidRDefault="00000000">
      <w:pPr>
        <w:shd w:val="clear" w:color="auto" w:fill="FFFFFF"/>
        <w:spacing w:before="100" w:after="1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 access the texts for this unit:</w:t>
      </w:r>
    </w:p>
    <w:p w14:paraId="5E20B3E5" w14:textId="77777777" w:rsidR="00FE2771" w:rsidRDefault="00000000">
      <w:pPr>
        <w:numPr>
          <w:ilvl w:val="0"/>
          <w:numId w:val="2"/>
        </w:numPr>
        <w:shd w:val="clear" w:color="auto" w:fill="FFFFFF"/>
        <w:spacing w:before="280" w:line="240" w:lineRule="auto"/>
      </w:pPr>
      <w:r>
        <w:rPr>
          <w:rFonts w:ascii="Calibri" w:eastAsia="Calibri" w:hAnsi="Calibri" w:cs="Calibri"/>
          <w:sz w:val="24"/>
          <w:szCs w:val="24"/>
        </w:rPr>
        <w:t>Purchase bundles of the purchased texts through the</w:t>
      </w:r>
      <w:r>
        <w:rPr>
          <w:rFonts w:ascii="Calibri" w:eastAsia="Calibri" w:hAnsi="Calibri" w:cs="Calibri"/>
          <w:color w:val="666666"/>
          <w:sz w:val="24"/>
          <w:szCs w:val="24"/>
        </w:rPr>
        <w:t> </w:t>
      </w:r>
      <w:hyperlink r:id="rId11">
        <w:r>
          <w:rPr>
            <w:rFonts w:ascii="Calibri" w:eastAsia="Calibri" w:hAnsi="Calibri" w:cs="Calibri"/>
            <w:color w:val="179DD5"/>
            <w:sz w:val="24"/>
            <w:szCs w:val="24"/>
          </w:rPr>
          <w:t>Text Portal</w:t>
        </w:r>
      </w:hyperlink>
      <w:r>
        <w:rPr>
          <w:rFonts w:ascii="Calibri" w:eastAsia="Calibri" w:hAnsi="Calibri" w:cs="Calibri"/>
          <w:sz w:val="24"/>
          <w:szCs w:val="24"/>
        </w:rPr>
        <w:t>; </w:t>
      </w:r>
    </w:p>
    <w:p w14:paraId="27A235B4" w14:textId="77777777" w:rsidR="00FE2771" w:rsidRDefault="00000000">
      <w:pPr>
        <w:numPr>
          <w:ilvl w:val="0"/>
          <w:numId w:val="2"/>
        </w:numPr>
        <w:shd w:val="clear" w:color="auto" w:fill="FFFFFF"/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 xml:space="preserve">Purchase </w:t>
      </w:r>
      <w:hyperlink r:id="rId12">
        <w:r>
          <w:rPr>
            <w:rFonts w:ascii="Calibri" w:eastAsia="Calibri" w:hAnsi="Calibri" w:cs="Calibri"/>
            <w:color w:val="179DD5"/>
            <w:sz w:val="24"/>
            <w:szCs w:val="24"/>
          </w:rPr>
          <w:t>The Witch of Blackbird Pond Unit Reader</w:t>
        </w:r>
      </w:hyperlink>
      <w:r>
        <w:rPr>
          <w:rFonts w:ascii="Calibri" w:eastAsia="Calibri" w:hAnsi="Calibri" w:cs="Calibri"/>
          <w:color w:val="666666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for each student to access the additional texts for the unit, and</w:t>
      </w:r>
    </w:p>
    <w:p w14:paraId="14F3083E" w14:textId="63E0AB10" w:rsidR="00FE2771" w:rsidRDefault="00000000">
      <w:pPr>
        <w:numPr>
          <w:ilvl w:val="0"/>
          <w:numId w:val="2"/>
        </w:numPr>
        <w:shd w:val="clear" w:color="auto" w:fill="FFFFFF"/>
        <w:spacing w:after="280" w:line="240" w:lineRule="auto"/>
      </w:pPr>
      <w:r>
        <w:rPr>
          <w:rFonts w:ascii="Calibri" w:eastAsia="Calibri" w:hAnsi="Calibri" w:cs="Calibri"/>
          <w:sz w:val="24"/>
          <w:szCs w:val="24"/>
        </w:rPr>
        <w:t>Download and print The Witch of Blackbird Pond Student Materials for each student.</w:t>
      </w:r>
      <w:r w:rsidR="00C77C6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Read the </w:t>
      </w:r>
      <w:hyperlink r:id="rId13">
        <w:r>
          <w:rPr>
            <w:rFonts w:ascii="Calibri" w:eastAsia="Calibri" w:hAnsi="Calibri" w:cs="Calibri"/>
            <w:sz w:val="24"/>
            <w:szCs w:val="24"/>
          </w:rPr>
          <w:t>Reading Guide </w:t>
        </w:r>
      </w:hyperlink>
      <w:r>
        <w:rPr>
          <w:rFonts w:ascii="Calibri" w:eastAsia="Calibri" w:hAnsi="Calibri" w:cs="Calibri"/>
          <w:sz w:val="24"/>
          <w:szCs w:val="24"/>
        </w:rPr>
        <w:t>to learn how these texts were selected.</w:t>
      </w:r>
    </w:p>
    <w:tbl>
      <w:tblPr>
        <w:tblStyle w:val="a0"/>
        <w:tblpPr w:leftFromText="180" w:rightFromText="180" w:topFromText="180" w:bottomFromText="180" w:vertAnchor="text" w:tblpX="272"/>
        <w:tblW w:w="107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Look w:val="0400" w:firstRow="0" w:lastRow="0" w:firstColumn="0" w:lastColumn="0" w:noHBand="0" w:noVBand="1"/>
      </w:tblPr>
      <w:tblGrid>
        <w:gridCol w:w="2244"/>
        <w:gridCol w:w="2251"/>
        <w:gridCol w:w="1798"/>
        <w:gridCol w:w="1979"/>
        <w:gridCol w:w="2521"/>
      </w:tblGrid>
      <w:tr w:rsidR="00FE2771" w14:paraId="51AED94B" w14:textId="77777777">
        <w:trPr>
          <w:trHeight w:val="340"/>
        </w:trPr>
        <w:tc>
          <w:tcPr>
            <w:tcW w:w="2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001CC" w14:textId="77777777" w:rsidR="00FE2771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Text Title</w:t>
            </w:r>
          </w:p>
        </w:tc>
        <w:tc>
          <w:tcPr>
            <w:tcW w:w="2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1CFB2" w14:textId="77777777" w:rsidR="00FE2771" w:rsidRDefault="00000000">
            <w:pPr>
              <w:spacing w:after="16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Excerpt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99850" w14:textId="77777777" w:rsidR="00FE2771" w:rsidRDefault="00000000">
            <w:pPr>
              <w:spacing w:after="16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Author/Source</w:t>
            </w:r>
          </w:p>
        </w:tc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4F4D4" w14:textId="77777777" w:rsidR="00FE2771" w:rsidRDefault="00000000">
            <w:pPr>
              <w:spacing w:after="16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Use in Unit</w:t>
            </w:r>
          </w:p>
        </w:tc>
        <w:tc>
          <w:tcPr>
            <w:tcW w:w="2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13298" w14:textId="77777777" w:rsidR="00FE2771" w:rsidRDefault="00000000">
            <w:pPr>
              <w:spacing w:after="160" w:line="240" w:lineRule="auto"/>
              <w:jc w:val="center"/>
              <w:rPr>
                <w:rFonts w:ascii="Calibri" w:eastAsia="Calibri" w:hAnsi="Calibri" w:cs="Calibri"/>
                <w:b/>
                <w:color w:val="6666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Access Type</w:t>
            </w:r>
          </w:p>
        </w:tc>
      </w:tr>
      <w:tr w:rsidR="00FE2771" w14:paraId="7712B585" w14:textId="77777777">
        <w:tc>
          <w:tcPr>
            <w:tcW w:w="2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2F78D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The Witch of Blackbird Pond</w:t>
            </w:r>
          </w:p>
        </w:tc>
        <w:tc>
          <w:tcPr>
            <w:tcW w:w="2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FA5E1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B716C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Elizabeth George Speare</w:t>
            </w:r>
          </w:p>
        </w:tc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AF70D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 copy (Anchor Text)</w:t>
            </w:r>
          </w:p>
        </w:tc>
        <w:tc>
          <w:tcPr>
            <w:tcW w:w="2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49E1D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color w:val="666666"/>
                <w:sz w:val="24"/>
                <w:szCs w:val="24"/>
              </w:rPr>
            </w:pPr>
            <w:hyperlink r:id="rId14">
              <w:r>
                <w:rPr>
                  <w:rFonts w:ascii="Calibri" w:eastAsia="Calibri" w:hAnsi="Calibri" w:cs="Calibri"/>
                  <w:color w:val="179DD5"/>
                  <w:sz w:val="24"/>
                  <w:szCs w:val="24"/>
                </w:rPr>
                <w:t>Text Portal</w:t>
              </w:r>
            </w:hyperlink>
          </w:p>
        </w:tc>
      </w:tr>
      <w:tr w:rsidR="00FE2771" w14:paraId="1F7ABD13" w14:textId="77777777">
        <w:tc>
          <w:tcPr>
            <w:tcW w:w="2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A9A3E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“Choices”</w:t>
            </w:r>
          </w:p>
        </w:tc>
        <w:tc>
          <w:tcPr>
            <w:tcW w:w="2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BF7CB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DF439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Nikki Giovanni</w:t>
            </w:r>
          </w:p>
        </w:tc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F0182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 copy</w:t>
            </w:r>
          </w:p>
        </w:tc>
        <w:tc>
          <w:tcPr>
            <w:tcW w:w="2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6980B0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color w:val="666666"/>
                <w:sz w:val="24"/>
                <w:szCs w:val="24"/>
              </w:rPr>
            </w:pPr>
            <w:hyperlink r:id="rId15">
              <w:r>
                <w:rPr>
                  <w:rFonts w:ascii="Calibri" w:eastAsia="Calibri" w:hAnsi="Calibri" w:cs="Calibri"/>
                  <w:color w:val="179DD5"/>
                  <w:sz w:val="24"/>
                  <w:szCs w:val="24"/>
                </w:rPr>
                <w:t>The Witch of Blackbird Pond Unit Reader</w:t>
              </w:r>
            </w:hyperlink>
          </w:p>
        </w:tc>
      </w:tr>
      <w:tr w:rsidR="00FE2771" w14:paraId="35B4E37A" w14:textId="77777777">
        <w:tc>
          <w:tcPr>
            <w:tcW w:w="2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45346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“Identity”</w:t>
            </w:r>
          </w:p>
        </w:tc>
        <w:tc>
          <w:tcPr>
            <w:tcW w:w="2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B8850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91D68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Julio Noboa Polanco</w:t>
            </w:r>
          </w:p>
        </w:tc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A0F67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Assessment (Student copy)</w:t>
            </w:r>
          </w:p>
        </w:tc>
        <w:tc>
          <w:tcPr>
            <w:tcW w:w="2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D961E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color w:val="666666"/>
                <w:sz w:val="24"/>
                <w:szCs w:val="24"/>
              </w:rPr>
            </w:pPr>
            <w:hyperlink r:id="rId16">
              <w:r>
                <w:rPr>
                  <w:rFonts w:ascii="Calibri" w:eastAsia="Calibri" w:hAnsi="Calibri" w:cs="Calibri"/>
                  <w:color w:val="179DD5"/>
                  <w:sz w:val="24"/>
                  <w:szCs w:val="24"/>
                </w:rPr>
                <w:t>The Witch of Blackbird Pond Unit Reader</w:t>
              </w:r>
            </w:hyperlink>
          </w:p>
        </w:tc>
      </w:tr>
      <w:tr w:rsidR="00FE2771" w14:paraId="443A7B2A" w14:textId="77777777">
        <w:tc>
          <w:tcPr>
            <w:tcW w:w="2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78C58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“Puritans”</w:t>
            </w:r>
          </w:p>
        </w:tc>
        <w:tc>
          <w:tcPr>
            <w:tcW w:w="2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001AF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D57D6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Michael Kaufman (The New Book of Knowledge, Grolier Online)</w:t>
            </w:r>
          </w:p>
        </w:tc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F8E9A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 copy</w:t>
            </w:r>
          </w:p>
        </w:tc>
        <w:tc>
          <w:tcPr>
            <w:tcW w:w="2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E65F6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color w:val="666666"/>
                <w:sz w:val="24"/>
                <w:szCs w:val="24"/>
              </w:rPr>
            </w:pPr>
            <w:hyperlink r:id="rId17">
              <w:r>
                <w:rPr>
                  <w:rFonts w:ascii="Calibri" w:eastAsia="Calibri" w:hAnsi="Calibri" w:cs="Calibri"/>
                  <w:color w:val="179DD5"/>
                  <w:sz w:val="24"/>
                  <w:szCs w:val="24"/>
                </w:rPr>
                <w:t>The Witch of Blackbird Pond Unit Reader</w:t>
              </w:r>
            </w:hyperlink>
          </w:p>
        </w:tc>
      </w:tr>
      <w:tr w:rsidR="00FE2771" w14:paraId="4D3D2C93" w14:textId="77777777">
        <w:tc>
          <w:tcPr>
            <w:tcW w:w="2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3CA36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“The Road Not Taken”</w:t>
            </w:r>
          </w:p>
        </w:tc>
        <w:tc>
          <w:tcPr>
            <w:tcW w:w="2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125D3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4EFEF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Robert Frost</w:t>
            </w:r>
          </w:p>
        </w:tc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58D52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 copy</w:t>
            </w:r>
          </w:p>
        </w:tc>
        <w:tc>
          <w:tcPr>
            <w:tcW w:w="2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B7967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Witch of Blackbird Pond Student Materials </w:t>
            </w:r>
          </w:p>
        </w:tc>
      </w:tr>
      <w:tr w:rsidR="00FE2771" w14:paraId="728C983C" w14:textId="77777777">
        <w:tc>
          <w:tcPr>
            <w:tcW w:w="2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3DA2B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History of the United States of America</w:t>
            </w:r>
          </w:p>
        </w:tc>
        <w:tc>
          <w:tcPr>
            <w:tcW w:w="2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58A7F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“Puritan Laws and Character”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F130A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Henry William Elson (transcribed by Kathy Leigh)</w:t>
            </w:r>
          </w:p>
        </w:tc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A257F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 copy</w:t>
            </w:r>
          </w:p>
        </w:tc>
        <w:tc>
          <w:tcPr>
            <w:tcW w:w="2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D6230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Witch of Blackbird Pond Student Materials </w:t>
            </w:r>
          </w:p>
        </w:tc>
      </w:tr>
      <w:tr w:rsidR="00FE2771" w14:paraId="6BA1414D" w14:textId="77777777">
        <w:tc>
          <w:tcPr>
            <w:tcW w:w="2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93CF8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Strange Phenomena of New England in the 17th Century including the “Salem Witchcraft, 1692,” from the writing of Cotton Mather, New York, 1846</w:t>
            </w:r>
          </w:p>
        </w:tc>
        <w:tc>
          <w:tcPr>
            <w:tcW w:w="2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4C3A5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Title and last page of Confession of Salem Jurors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26AB5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Library of Congress</w:t>
            </w:r>
          </w:p>
        </w:tc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46C75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 copy</w:t>
            </w:r>
          </w:p>
        </w:tc>
        <w:tc>
          <w:tcPr>
            <w:tcW w:w="2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1A203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Witch of Blackbird Pond Student Materials </w:t>
            </w:r>
          </w:p>
        </w:tc>
      </w:tr>
      <w:tr w:rsidR="00FE2771" w14:paraId="49A11A98" w14:textId="77777777">
        <w:tc>
          <w:tcPr>
            <w:tcW w:w="2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31C9D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Salem Witch Trials</w:t>
            </w:r>
          </w:p>
        </w:tc>
        <w:tc>
          <w:tcPr>
            <w:tcW w:w="2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D6D68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“The Story of the Witch Hunt” (Video)</w:t>
            </w:r>
          </w:p>
        </w:tc>
        <w:tc>
          <w:tcPr>
            <w:tcW w:w="1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AF55E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Discovery Education</w:t>
            </w:r>
          </w:p>
        </w:tc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3CEAB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Read aloud</w:t>
            </w:r>
          </w:p>
        </w:tc>
        <w:tc>
          <w:tcPr>
            <w:tcW w:w="2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C66D0" w14:textId="77777777" w:rsidR="00FE2771" w:rsidRDefault="00000000">
            <w:pPr>
              <w:spacing w:line="259" w:lineRule="auto"/>
              <w:rPr>
                <w:rFonts w:ascii="Calibri" w:eastAsia="Calibri" w:hAnsi="Calibri" w:cs="Calibri"/>
                <w:color w:val="179DD5"/>
                <w:sz w:val="24"/>
                <w:szCs w:val="24"/>
              </w:rPr>
            </w:pPr>
            <w:hyperlink r:id="rId18">
              <w:r>
                <w:rPr>
                  <w:rFonts w:ascii="Calibri" w:eastAsia="Calibri" w:hAnsi="Calibri" w:cs="Calibri"/>
                  <w:color w:val="179DD5"/>
                  <w:sz w:val="24"/>
                  <w:szCs w:val="24"/>
                </w:rPr>
                <w:t>Digital access</w:t>
              </w:r>
            </w:hyperlink>
          </w:p>
        </w:tc>
      </w:tr>
    </w:tbl>
    <w:p w14:paraId="44861BAD" w14:textId="77777777" w:rsidR="00FE2771" w:rsidRDefault="00000000">
      <w:pPr>
        <w:shd w:val="clear" w:color="auto" w:fill="FFFFFF"/>
        <w:spacing w:before="100" w:after="100" w:line="240" w:lineRule="auto"/>
        <w:rPr>
          <w:rFonts w:ascii="Calibri" w:eastAsia="Calibri" w:hAnsi="Calibri" w:cs="Calibri"/>
          <w:color w:val="666666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Note: </w:t>
      </w:r>
      <w:r>
        <w:rPr>
          <w:rFonts w:ascii="Calibri" w:eastAsia="Calibri" w:hAnsi="Calibri" w:cs="Calibri"/>
          <w:i/>
          <w:sz w:val="24"/>
          <w:szCs w:val="24"/>
        </w:rPr>
        <w:t>There are different allowances for text use and printing based on the permission status of each text. Written permission of the copyright owner(s) and/or other rights holders is required for distribution, reproduction, or other use of protected items beyond that allowed by </w:t>
      </w:r>
      <w:hyperlink r:id="rId19">
        <w:r>
          <w:rPr>
            <w:rFonts w:ascii="Calibri" w:eastAsia="Calibri" w:hAnsi="Calibri" w:cs="Calibri"/>
            <w:i/>
            <w:color w:val="179DD5"/>
            <w:sz w:val="24"/>
            <w:szCs w:val="24"/>
          </w:rPr>
          <w:t>fair use</w:t>
        </w:r>
      </w:hyperlink>
      <w:r>
        <w:rPr>
          <w:rFonts w:ascii="Calibri" w:eastAsia="Calibri" w:hAnsi="Calibri" w:cs="Calibri"/>
          <w:i/>
          <w:color w:val="666666"/>
          <w:sz w:val="24"/>
          <w:szCs w:val="24"/>
        </w:rPr>
        <w:t> </w:t>
      </w:r>
      <w:r>
        <w:rPr>
          <w:rFonts w:ascii="Calibri" w:eastAsia="Calibri" w:hAnsi="Calibri" w:cs="Calibri"/>
          <w:i/>
          <w:sz w:val="24"/>
          <w:szCs w:val="24"/>
        </w:rPr>
        <w:t>or other statutory exemptions. Responsibility for securing any necessary permission rests with the user.</w:t>
      </w:r>
    </w:p>
    <w:p w14:paraId="67E0893F" w14:textId="77777777" w:rsidR="00FE2771" w:rsidRDefault="00FE2771">
      <w:pPr>
        <w:jc w:val="center"/>
        <w:rPr>
          <w:rFonts w:ascii="Calibri" w:eastAsia="Calibri" w:hAnsi="Calibri" w:cs="Calibri"/>
          <w:i/>
          <w:sz w:val="24"/>
          <w:szCs w:val="24"/>
        </w:rPr>
      </w:pPr>
    </w:p>
    <w:p w14:paraId="2BFE2814" w14:textId="77777777" w:rsidR="00FE2771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Let’s Set the Context: Text Access Document  </w:t>
      </w:r>
    </w:p>
    <w:tbl>
      <w:tblPr>
        <w:tblStyle w:val="a1"/>
        <w:tblW w:w="1137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78"/>
      </w:tblGrid>
      <w:tr w:rsidR="00FE2771" w14:paraId="4F15A661" w14:textId="77777777">
        <w:trPr>
          <w:jc w:val="center"/>
        </w:trPr>
        <w:tc>
          <w:tcPr>
            <w:tcW w:w="11378" w:type="dxa"/>
            <w:shd w:val="clear" w:color="auto" w:fill="22222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45A36" w14:textId="77777777" w:rsidR="00FE2771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lastRenderedPageBreak/>
              <w:t xml:space="preserve">What do you notice about the balance between literary and informational texts? </w:t>
            </w:r>
          </w:p>
        </w:tc>
      </w:tr>
      <w:tr w:rsidR="00FE2771" w14:paraId="5C9DC319" w14:textId="77777777">
        <w:trPr>
          <w:jc w:val="center"/>
        </w:trPr>
        <w:tc>
          <w:tcPr>
            <w:tcW w:w="11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AC23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846678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5C0CCA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63A3B0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8B459E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FA9E75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2771" w14:paraId="1506DDA0" w14:textId="77777777">
        <w:trPr>
          <w:jc w:val="center"/>
        </w:trPr>
        <w:tc>
          <w:tcPr>
            <w:tcW w:w="11378" w:type="dxa"/>
            <w:shd w:val="clear" w:color="auto" w:fill="22222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272B2" w14:textId="77777777" w:rsidR="00FE2771" w:rsidRDefault="0000000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How does this text set look </w:t>
            </w:r>
            <w:proofErr w:type="gramStart"/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similar to</w:t>
            </w:r>
            <w:proofErr w:type="gramEnd"/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 some of the ELA Guidebooks units?</w:t>
            </w:r>
          </w:p>
        </w:tc>
      </w:tr>
      <w:tr w:rsidR="00FE2771" w14:paraId="3DD13E1C" w14:textId="77777777">
        <w:trPr>
          <w:jc w:val="center"/>
        </w:trPr>
        <w:tc>
          <w:tcPr>
            <w:tcW w:w="11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0F720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C562B6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68C306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0E8E06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6B7C01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812E11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2771" w14:paraId="69A147B7" w14:textId="77777777">
        <w:trPr>
          <w:jc w:val="center"/>
        </w:trPr>
        <w:tc>
          <w:tcPr>
            <w:tcW w:w="11378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7C6F" w14:textId="77777777" w:rsidR="00FE2771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What are the connections between the nouns that </w:t>
            </w:r>
            <w:proofErr w:type="gramStart"/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were</w:t>
            </w:r>
            <w:proofErr w:type="gramEnd"/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 </w:t>
            </w:r>
          </w:p>
          <w:p w14:paraId="3ADA7402" w14:textId="77777777" w:rsidR="00FE2771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identified in the previous activity and the texts in this set?  </w:t>
            </w:r>
          </w:p>
        </w:tc>
      </w:tr>
      <w:tr w:rsidR="00FE2771" w14:paraId="7C97D380" w14:textId="77777777">
        <w:trPr>
          <w:jc w:val="center"/>
        </w:trPr>
        <w:tc>
          <w:tcPr>
            <w:tcW w:w="1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3342" w14:textId="77777777" w:rsidR="00FE2771" w:rsidRDefault="00FE27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</w:p>
          <w:p w14:paraId="72406DE0" w14:textId="77777777" w:rsidR="00FE2771" w:rsidRDefault="00FE27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</w:p>
          <w:p w14:paraId="2CC410CE" w14:textId="77777777" w:rsidR="00FE2771" w:rsidRDefault="00FE27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</w:p>
          <w:p w14:paraId="78C56DFF" w14:textId="77777777" w:rsidR="00FE2771" w:rsidRDefault="00FE27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</w:p>
          <w:p w14:paraId="4919D48F" w14:textId="77777777" w:rsidR="00FE2771" w:rsidRDefault="00FE27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</w:p>
          <w:p w14:paraId="7EFC54C7" w14:textId="77777777" w:rsidR="00FE2771" w:rsidRDefault="00FE27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</w:p>
          <w:p w14:paraId="314D4689" w14:textId="77777777" w:rsidR="00FE2771" w:rsidRDefault="00FE27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</w:p>
        </w:tc>
      </w:tr>
    </w:tbl>
    <w:p w14:paraId="6799DE9E" w14:textId="77777777" w:rsidR="00FE2771" w:rsidRDefault="00FE2771">
      <w:pPr>
        <w:rPr>
          <w:rFonts w:ascii="Calibri" w:eastAsia="Calibri" w:hAnsi="Calibri" w:cs="Calibri"/>
          <w:i/>
          <w:sz w:val="24"/>
          <w:szCs w:val="24"/>
        </w:rPr>
      </w:pPr>
    </w:p>
    <w:p w14:paraId="14FE3CD3" w14:textId="77777777" w:rsidR="00FE2771" w:rsidRDefault="00000000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Let’s Set the Context: Culminating Writing Task</w:t>
      </w:r>
    </w:p>
    <w:p w14:paraId="787033EE" w14:textId="77777777" w:rsidR="00FE2771" w:rsidRDefault="00FE2771">
      <w:pPr>
        <w:jc w:val="center"/>
        <w:rPr>
          <w:rFonts w:ascii="Calibri" w:eastAsia="Calibri" w:hAnsi="Calibri" w:cs="Calibri"/>
          <w:i/>
          <w:sz w:val="4"/>
          <w:szCs w:val="4"/>
        </w:rPr>
      </w:pPr>
    </w:p>
    <w:p w14:paraId="03852408" w14:textId="77777777" w:rsidR="00FE2771" w:rsidRDefault="00000000">
      <w:pPr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noProof/>
          <w:sz w:val="24"/>
          <w:szCs w:val="24"/>
        </w:rPr>
        <w:lastRenderedPageBreak/>
        <w:drawing>
          <wp:inline distT="19050" distB="19050" distL="19050" distR="19050" wp14:anchorId="5501DB94" wp14:editId="4351A404">
            <wp:extent cx="4757738" cy="2856348"/>
            <wp:effectExtent l="12700" t="12700" r="12700" b="127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7738" cy="2856348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5C3F00B" w14:textId="77777777" w:rsidR="00FE2771" w:rsidRDefault="00FE2771">
      <w:pPr>
        <w:rPr>
          <w:rFonts w:ascii="Calibri" w:eastAsia="Calibri" w:hAnsi="Calibri" w:cs="Calibri"/>
          <w:sz w:val="4"/>
          <w:szCs w:val="4"/>
        </w:rPr>
      </w:pPr>
    </w:p>
    <w:tbl>
      <w:tblPr>
        <w:tblStyle w:val="a2"/>
        <w:tblW w:w="1137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8"/>
        <w:gridCol w:w="5688"/>
      </w:tblGrid>
      <w:tr w:rsidR="00FE2771" w14:paraId="5E407388" w14:textId="77777777">
        <w:trPr>
          <w:jc w:val="center"/>
        </w:trPr>
        <w:tc>
          <w:tcPr>
            <w:tcW w:w="5688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CA51E" w14:textId="77777777" w:rsidR="00FE2771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Knowledge</w:t>
            </w:r>
          </w:p>
        </w:tc>
        <w:tc>
          <w:tcPr>
            <w:tcW w:w="5688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768E8" w14:textId="77777777" w:rsidR="00FE2771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Skills</w:t>
            </w:r>
          </w:p>
        </w:tc>
      </w:tr>
      <w:tr w:rsidR="00FE2771" w14:paraId="15315E82" w14:textId="77777777">
        <w:trPr>
          <w:jc w:val="center"/>
        </w:trPr>
        <w:tc>
          <w:tcPr>
            <w:tcW w:w="5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0DEF" w14:textId="77777777" w:rsidR="00FE2771" w:rsidRDefault="00FE27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</w:p>
          <w:p w14:paraId="492C6862" w14:textId="77777777" w:rsidR="00FE2771" w:rsidRDefault="00FE27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</w:p>
          <w:p w14:paraId="47AD5A48" w14:textId="77777777" w:rsidR="00FE2771" w:rsidRDefault="00FE27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</w:p>
          <w:p w14:paraId="606D5E76" w14:textId="77777777" w:rsidR="00FE2771" w:rsidRDefault="00FE27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</w:p>
          <w:p w14:paraId="5ECDBAB1" w14:textId="77777777" w:rsidR="00FE2771" w:rsidRDefault="00FE27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</w:p>
          <w:p w14:paraId="158012BD" w14:textId="77777777" w:rsidR="00FE2771" w:rsidRDefault="00FE27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</w:p>
          <w:p w14:paraId="6D5B887E" w14:textId="77777777" w:rsidR="00FE2771" w:rsidRDefault="00FE27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</w:p>
        </w:tc>
        <w:tc>
          <w:tcPr>
            <w:tcW w:w="56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02D93" w14:textId="77777777" w:rsidR="00FE2771" w:rsidRDefault="00FE277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</w:p>
        </w:tc>
      </w:tr>
    </w:tbl>
    <w:p w14:paraId="22036FAE" w14:textId="77777777" w:rsidR="00FE2771" w:rsidRDefault="00FE2771">
      <w:pPr>
        <w:rPr>
          <w:rFonts w:ascii="Calibri" w:eastAsia="Calibri" w:hAnsi="Calibri" w:cs="Calibri"/>
          <w:i/>
          <w:sz w:val="24"/>
          <w:szCs w:val="24"/>
        </w:rPr>
      </w:pPr>
    </w:p>
    <w:p w14:paraId="78E02081" w14:textId="77777777" w:rsidR="00FE2771" w:rsidRDefault="00000000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Let’s Set the Context: Reader’s Circle for Literary Texts </w:t>
      </w:r>
    </w:p>
    <w:p w14:paraId="494BDAD7" w14:textId="77777777" w:rsidR="00FE2771" w:rsidRDefault="00FE2771">
      <w:pPr>
        <w:rPr>
          <w:rFonts w:ascii="Calibri" w:eastAsia="Calibri" w:hAnsi="Calibri" w:cs="Calibri"/>
          <w:i/>
          <w:sz w:val="24"/>
          <w:szCs w:val="24"/>
        </w:rPr>
      </w:pPr>
    </w:p>
    <w:p w14:paraId="7E174C2F" w14:textId="77777777" w:rsidR="00FE2771" w:rsidRDefault="00000000">
      <w:pPr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noProof/>
          <w:sz w:val="24"/>
          <w:szCs w:val="24"/>
        </w:rPr>
        <w:drawing>
          <wp:inline distT="19050" distB="19050" distL="19050" distR="19050" wp14:anchorId="2E0E12D5" wp14:editId="6CF54600">
            <wp:extent cx="4262438" cy="2838000"/>
            <wp:effectExtent l="12700" t="12700" r="12700" b="127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 t="13149"/>
                    <a:stretch>
                      <a:fillRect/>
                    </a:stretch>
                  </pic:blipFill>
                  <pic:spPr>
                    <a:xfrm>
                      <a:off x="0" y="0"/>
                      <a:ext cx="4262438" cy="2838000"/>
                    </a:xfrm>
                    <a:prstGeom prst="rect">
                      <a:avLst/>
                    </a:prstGeom>
                    <a:ln w="12700">
                      <a:solidFill>
                        <a:srgbClr val="434343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ED29E5C" w14:textId="77777777" w:rsidR="00FE2771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36"/>
          <w:szCs w:val="36"/>
        </w:rPr>
        <w:t>Reflection and Closing</w:t>
      </w:r>
    </w:p>
    <w:tbl>
      <w:tblPr>
        <w:tblStyle w:val="a3"/>
        <w:tblW w:w="1137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78"/>
      </w:tblGrid>
      <w:tr w:rsidR="00FE2771" w14:paraId="3CF715A2" w14:textId="77777777">
        <w:trPr>
          <w:jc w:val="center"/>
        </w:trPr>
        <w:tc>
          <w:tcPr>
            <w:tcW w:w="11378" w:type="dxa"/>
            <w:shd w:val="clear" w:color="auto" w:fill="22222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20FDB" w14:textId="77777777" w:rsidR="00FE2771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lastRenderedPageBreak/>
              <w:t xml:space="preserve">What did you learn from the scoring activity? </w:t>
            </w:r>
          </w:p>
        </w:tc>
      </w:tr>
      <w:tr w:rsidR="00FE2771" w14:paraId="3F6CEA04" w14:textId="77777777">
        <w:trPr>
          <w:jc w:val="center"/>
        </w:trPr>
        <w:tc>
          <w:tcPr>
            <w:tcW w:w="113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AFDB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3853C0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AF1DBDE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8CBBDF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104D54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7357E6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FFD7DD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0913CD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496321" w14:textId="77777777" w:rsidR="00FE2771" w:rsidRDefault="00FE277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05A6D0D" w14:textId="77777777" w:rsidR="00FE2771" w:rsidRDefault="00FE2771">
      <w:pPr>
        <w:rPr>
          <w:rFonts w:ascii="Calibri" w:eastAsia="Calibri" w:hAnsi="Calibri" w:cs="Calibri"/>
          <w:i/>
          <w:sz w:val="24"/>
          <w:szCs w:val="24"/>
        </w:rPr>
      </w:pPr>
    </w:p>
    <w:sectPr w:rsidR="00FE2771">
      <w:footerReference w:type="default" r:id="rId22"/>
      <w:footerReference w:type="first" r:id="rId23"/>
      <w:pgSz w:w="12240" w:h="15840"/>
      <w:pgMar w:top="446" w:right="431" w:bottom="900" w:left="4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19B3" w14:textId="77777777" w:rsidR="00F67DE6" w:rsidRDefault="00F67DE6">
      <w:pPr>
        <w:spacing w:line="240" w:lineRule="auto"/>
      </w:pPr>
      <w:r>
        <w:separator/>
      </w:r>
    </w:p>
  </w:endnote>
  <w:endnote w:type="continuationSeparator" w:id="0">
    <w:p w14:paraId="44DFA655" w14:textId="77777777" w:rsidR="00F67DE6" w:rsidRDefault="00F67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55C2" w14:textId="77777777" w:rsidR="00FE2771" w:rsidRDefault="00000000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C77C61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2CB0" w14:textId="77777777" w:rsidR="00FE2771" w:rsidRDefault="00000000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C77C61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9CD8" w14:textId="77777777" w:rsidR="00F67DE6" w:rsidRDefault="00F67DE6">
      <w:pPr>
        <w:spacing w:line="240" w:lineRule="auto"/>
      </w:pPr>
      <w:r>
        <w:separator/>
      </w:r>
    </w:p>
  </w:footnote>
  <w:footnote w:type="continuationSeparator" w:id="0">
    <w:p w14:paraId="030DDAA3" w14:textId="77777777" w:rsidR="00F67DE6" w:rsidRDefault="00F67D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86E"/>
    <w:multiLevelType w:val="multilevel"/>
    <w:tmpl w:val="413CE61C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212121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212121"/>
        <w:sz w:val="36"/>
        <w:szCs w:val="36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212121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212121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212121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212121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212121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212121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212121"/>
        <w:sz w:val="36"/>
        <w:szCs w:val="36"/>
        <w:u w:val="none"/>
        <w:shd w:val="clear" w:color="auto" w:fill="auto"/>
        <w:vertAlign w:val="baseline"/>
      </w:rPr>
    </w:lvl>
  </w:abstractNum>
  <w:abstractNum w:abstractNumId="1" w15:restartNumberingAfterBreak="0">
    <w:nsid w:val="34346754"/>
    <w:multiLevelType w:val="multilevel"/>
    <w:tmpl w:val="873C9A6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num w:numId="1" w16cid:durableId="1117024591">
    <w:abstractNumId w:val="0"/>
  </w:num>
  <w:num w:numId="2" w16cid:durableId="58007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1"/>
    <w:rsid w:val="00C77C61"/>
    <w:rsid w:val="00F67DE6"/>
    <w:rsid w:val="00F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702A"/>
  <w15:docId w15:val="{6C442ECB-09E0-4E18-B268-B0241AB0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uisianabelieves.com/docs/default-source/assessment-guidance/leap-ela-guidebooks-iap-operational-assessment-guide---grades-5-6-7-8.pdf?sfvrsn=c4a6018_2urce/assessment-guidance/leap-ela-guidebooks-assessment-guide-grades-6-7-8.pdf?sfvrsn=a23f6218_4" TargetMode="External"/><Relationship Id="rId13" Type="http://schemas.openxmlformats.org/officeDocument/2006/relationships/hyperlink" Target="https://docs.google.com/document/d/1CEP8YUqavk4yqzSft-gbxLGvLTDyaTJ_tvhM9tMozzk/edit" TargetMode="External"/><Relationship Id="rId18" Type="http://schemas.openxmlformats.org/officeDocument/2006/relationships/hyperlink" Target="http://www.viewpure.com/qbFDBrOlE9k?start=0&amp;end=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12" Type="http://schemas.openxmlformats.org/officeDocument/2006/relationships/hyperlink" Target="http://www.xanedu.com/orderform/louisiana_schools/" TargetMode="External"/><Relationship Id="rId17" Type="http://schemas.openxmlformats.org/officeDocument/2006/relationships/hyperlink" Target="http://www.xanedu.com/orderform/louisiana_school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xanedu.com/orderform/louisiana_schools/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ericanreading.com/louisiana-doe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xanedu.com/orderform/louisiana_schools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louisianabelieves.com/docs/default-source/assessment-guidance/iap-guidance-for-score-reports.pdf?sfvrsn=53886518_6" TargetMode="External"/><Relationship Id="rId19" Type="http://schemas.openxmlformats.org/officeDocument/2006/relationships/hyperlink" Target="http://www.halldavidson.net/copyright_cha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uisianabelieves.com/docs/default-source/assessment-guidance/iap-guidance-for-score-reports.pdf?sfvrsn=53886518_6" TargetMode="External"/><Relationship Id="rId14" Type="http://schemas.openxmlformats.org/officeDocument/2006/relationships/hyperlink" Target="http://www.americanreading.com/louisiana-doe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702</Words>
  <Characters>3737</Characters>
  <Application>Microsoft Office Word</Application>
  <DocSecurity>0</DocSecurity>
  <Lines>287</Lines>
  <Paragraphs>116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Nathan  Dadey</cp:lastModifiedBy>
  <cp:revision>2</cp:revision>
  <dcterms:created xsi:type="dcterms:W3CDTF">2023-12-13T19:48:00Z</dcterms:created>
  <dcterms:modified xsi:type="dcterms:W3CDTF">2023-12-13T20:11:00Z</dcterms:modified>
</cp:coreProperties>
</file>